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699D" w:rsidRPr="00C95612" w:rsidTr="00DD699D">
        <w:tc>
          <w:tcPr>
            <w:tcW w:w="9212" w:type="dxa"/>
          </w:tcPr>
          <w:p w:rsidR="00DD699D" w:rsidRPr="00326AEC" w:rsidRDefault="00DD699D" w:rsidP="00F3668F">
            <w:pPr>
              <w:rPr>
                <w:sz w:val="36"/>
                <w:lang w:val="en-US"/>
              </w:rPr>
            </w:pPr>
            <w:bookmarkStart w:id="0" w:name="_GoBack"/>
            <w:bookmarkEnd w:id="0"/>
            <w:r w:rsidRPr="00326AEC">
              <w:rPr>
                <w:sz w:val="36"/>
                <w:lang w:val="en-US"/>
              </w:rPr>
              <w:t xml:space="preserve">HOLOGIC Aptima Multitest Swab Specimen Collection kit for </w:t>
            </w:r>
            <w:r w:rsidR="00315352" w:rsidRPr="00326AEC">
              <w:rPr>
                <w:sz w:val="36"/>
                <w:lang w:val="en-US"/>
              </w:rPr>
              <w:t>selvprøvetaking</w:t>
            </w:r>
            <w:r w:rsidR="003950F3" w:rsidRPr="00326AEC">
              <w:rPr>
                <w:sz w:val="36"/>
                <w:lang w:val="en-US"/>
              </w:rPr>
              <w:t xml:space="preserve"> </w:t>
            </w:r>
            <w:r w:rsidRPr="00326AEC">
              <w:rPr>
                <w:sz w:val="36"/>
                <w:lang w:val="en-US"/>
              </w:rPr>
              <w:t>fra vagina</w:t>
            </w:r>
            <w:r w:rsidR="003950F3" w:rsidRPr="00326AEC">
              <w:rPr>
                <w:sz w:val="36"/>
                <w:lang w:val="en-US"/>
              </w:rPr>
              <w:t xml:space="preserve"> </w:t>
            </w:r>
          </w:p>
        </w:tc>
      </w:tr>
    </w:tbl>
    <w:p w:rsidR="00124ADB" w:rsidRDefault="00124ADB">
      <w:pPr>
        <w:rPr>
          <w:lang w:val="en-US"/>
        </w:rPr>
      </w:pPr>
    </w:p>
    <w:p w:rsidR="009B4F81" w:rsidRDefault="009B4F81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4F04C081" wp14:editId="4F04C082">
            <wp:extent cx="5760720" cy="1429324"/>
            <wp:effectExtent l="0" t="0" r="0" b="0"/>
            <wp:docPr id="1" name="Bilde 1" descr="C:\Users\nocarthi\AppData\Local\Microsoft\Windows\Temporary Internet Files\Content.Outlook\YKC70BAP\Swab 1 bekjæ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carthi\AppData\Local\Microsoft\Windows\Temporary Internet Files\Content.Outlook\YKC70BAP\Swab 1 bekjæ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4F81" w:rsidRPr="00C95612" w:rsidTr="009B4F81">
        <w:tc>
          <w:tcPr>
            <w:tcW w:w="9212" w:type="dxa"/>
          </w:tcPr>
          <w:p w:rsidR="009B4F81" w:rsidRDefault="009B4F81">
            <w:pPr>
              <w:rPr>
                <w:lang w:val="en-US"/>
              </w:rPr>
            </w:pPr>
            <w:r>
              <w:rPr>
                <w:lang w:val="en-US"/>
              </w:rPr>
              <w:t>Analyser: Chlamydia trachomatis, Neisseria gonorrhea, Mycoplasma genitalium</w:t>
            </w:r>
          </w:p>
        </w:tc>
      </w:tr>
      <w:tr w:rsidR="009B4F81" w:rsidRPr="00315352" w:rsidTr="009B4F81">
        <w:tc>
          <w:tcPr>
            <w:tcW w:w="9212" w:type="dxa"/>
          </w:tcPr>
          <w:p w:rsidR="009B4F81" w:rsidRDefault="009B4F81">
            <w:r w:rsidRPr="00315352">
              <w:t>Prøvetaking:</w:t>
            </w:r>
            <w:r w:rsidR="00955675">
              <w:t xml:space="preserve"> </w:t>
            </w:r>
            <w:r w:rsidR="00315352" w:rsidRPr="00315352">
              <w:t xml:space="preserve">Vask hendene godt før du </w:t>
            </w:r>
            <w:r w:rsidR="00315352">
              <w:t>begy</w:t>
            </w:r>
            <w:r w:rsidR="00315352" w:rsidRPr="00315352">
              <w:t>nner.</w:t>
            </w:r>
          </w:p>
          <w:p w:rsidR="00315352" w:rsidRDefault="003950F3" w:rsidP="00315352">
            <w:pPr>
              <w:pStyle w:val="Listeavsnitt"/>
              <w:numPr>
                <w:ilvl w:val="0"/>
                <w:numId w:val="1"/>
              </w:numPr>
            </w:pPr>
            <w:r>
              <w:t>Åpne delvis</w:t>
            </w:r>
            <w:r w:rsidR="00315352">
              <w:t xml:space="preserve"> pakke</w:t>
            </w:r>
            <w:r>
              <w:t>n som inneholder prøvetakningspinnen</w:t>
            </w:r>
            <w:r w:rsidR="00315352">
              <w:t xml:space="preserve"> </w:t>
            </w:r>
            <w:r w:rsidR="008E6703">
              <w:t>og ta</w:t>
            </w:r>
            <w:r>
              <w:t xml:space="preserve"> ut pinnen. OBS! Ikke berør pinnen</w:t>
            </w:r>
            <w:r w:rsidR="00FD486E">
              <w:t xml:space="preserve"> under strek</w:t>
            </w:r>
            <w:r>
              <w:t>linjen og ikke legg den ned. Dersom pinnen berøres under streklinjen, eller</w:t>
            </w:r>
            <w:r w:rsidR="00FD486E">
              <w:t xml:space="preserve"> penselen</w:t>
            </w:r>
            <w:r w:rsidR="007B514B">
              <w:t xml:space="preserve"> f. eks.</w:t>
            </w:r>
            <w:r w:rsidR="00FD486E">
              <w:t xml:space="preserve"> </w:t>
            </w:r>
            <w:r>
              <w:t xml:space="preserve">faller </w:t>
            </w:r>
            <w:r w:rsidR="00FD486E">
              <w:t xml:space="preserve">på gulvet, skal du </w:t>
            </w:r>
            <w:r>
              <w:t xml:space="preserve">forkaste den og </w:t>
            </w:r>
            <w:r w:rsidR="004C1C80">
              <w:t>be om et nytt prø</w:t>
            </w:r>
            <w:r w:rsidR="00FD486E">
              <w:t>vetakingssett.</w:t>
            </w:r>
            <w:r>
              <w:t xml:space="preserve"> </w:t>
            </w:r>
          </w:p>
          <w:p w:rsidR="00137143" w:rsidRDefault="00137143" w:rsidP="00137143">
            <w:pPr>
              <w:pStyle w:val="Listeavsnitt"/>
            </w:pPr>
            <w:r>
              <w:t>Aptimarør har foliefilm øverst på korken. Unngå at denne perforeres.</w:t>
            </w:r>
          </w:p>
          <w:p w:rsidR="003950F3" w:rsidRDefault="003950F3" w:rsidP="00315352">
            <w:pPr>
              <w:pStyle w:val="Listeavsnitt"/>
              <w:numPr>
                <w:ilvl w:val="0"/>
                <w:numId w:val="1"/>
              </w:numPr>
            </w:pPr>
            <w:r>
              <w:t>Hold i pinnen ved å plassere tommelen og pekefingeren midt på pinnen ovenfor den sorte streken:</w:t>
            </w:r>
          </w:p>
          <w:p w:rsidR="003950F3" w:rsidRDefault="003950F3" w:rsidP="003950F3">
            <w:pPr>
              <w:pStyle w:val="Listeavsnitt"/>
            </w:pPr>
            <w:r>
              <w:rPr>
                <w:noProof/>
                <w:lang w:eastAsia="nb-NO"/>
              </w:rPr>
              <w:drawing>
                <wp:inline distT="0" distB="0" distL="0" distR="0" wp14:anchorId="4F04C083" wp14:editId="4F04C084">
                  <wp:extent cx="904774" cy="90000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7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675">
              <w:t xml:space="preserve"> </w:t>
            </w:r>
          </w:p>
          <w:p w:rsidR="003950F3" w:rsidRDefault="003950F3" w:rsidP="003950F3">
            <w:pPr>
              <w:pStyle w:val="Listeavsnitt"/>
              <w:numPr>
                <w:ilvl w:val="0"/>
                <w:numId w:val="1"/>
              </w:numPr>
            </w:pPr>
            <w:r>
              <w:t>Før forsiktig pinnen ca. 5 cm inn i vagina og roter pinnen rundt i vagina i 10-30 sekunder</w:t>
            </w:r>
            <w:r w:rsidR="001C7914">
              <w:t>. Pinnen skal berøre vaginalveggen slik at pinnen suger opp fukt. Dra forsiktig ut pinnen uten å berøre huden.</w:t>
            </w:r>
          </w:p>
          <w:p w:rsidR="001C7914" w:rsidRDefault="001C7914" w:rsidP="001C7914">
            <w:pPr>
              <w:pStyle w:val="Listeavsnitt"/>
            </w:pPr>
            <w:r>
              <w:rPr>
                <w:noProof/>
                <w:lang w:eastAsia="nb-NO"/>
              </w:rPr>
              <w:drawing>
                <wp:inline distT="0" distB="0" distL="0" distR="0" wp14:anchorId="4F04C085" wp14:editId="4F04C086">
                  <wp:extent cx="904723" cy="900000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2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914" w:rsidRDefault="001C7914" w:rsidP="001C7914">
            <w:pPr>
              <w:pStyle w:val="Listeavsnitt"/>
              <w:numPr>
                <w:ilvl w:val="0"/>
                <w:numId w:val="1"/>
              </w:numPr>
            </w:pPr>
            <w:r>
              <w:t xml:space="preserve">Hold fast i pinnen mens du samtidig skrur av korken på Aptimarøret. </w:t>
            </w:r>
            <w:r w:rsidR="006D3167">
              <w:t xml:space="preserve">OBS! </w:t>
            </w:r>
            <w:r>
              <w:t>Væsken i røret må IKKE helles ut. Dersom noe av væsken forspilles</w:t>
            </w:r>
            <w:r w:rsidR="004C1C80">
              <w:t>,</w:t>
            </w:r>
            <w:r>
              <w:t xml:space="preserve"> skal du forkaste den og be om et nytt prøvetakingssett. Plasser umiddelbart pinnen i Aptima røret</w:t>
            </w:r>
            <w:r w:rsidR="00AF7500">
              <w:t xml:space="preserve"> slik at den sorte streklinjen ligger ved kanten øverst i røret. Knekk av pinnen ved streklinjen. Pinnen synker så ned i røret. Kast den øverste delen av pinnen.</w:t>
            </w:r>
          </w:p>
          <w:p w:rsidR="00640EC6" w:rsidRDefault="00640EC6" w:rsidP="004F1157"/>
          <w:p w:rsidR="002E4428" w:rsidRDefault="00D02610" w:rsidP="002E4428">
            <w:pPr>
              <w:pStyle w:val="Listeavsnitt"/>
            </w:pPr>
            <w:r>
              <w:t xml:space="preserve">   </w:t>
            </w:r>
            <w:r>
              <w:rPr>
                <w:noProof/>
                <w:lang w:eastAsia="nb-NO"/>
              </w:rPr>
              <w:drawing>
                <wp:inline distT="0" distB="0" distL="0" distR="0" wp14:anchorId="4F04C087" wp14:editId="4F04C088">
                  <wp:extent cx="480763" cy="900000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2E4428">
              <w:rPr>
                <w:noProof/>
                <w:lang w:eastAsia="nb-NO"/>
              </w:rPr>
              <w:drawing>
                <wp:inline distT="0" distB="0" distL="0" distR="0" wp14:anchorId="4F04C089" wp14:editId="4F04C08A">
                  <wp:extent cx="687405" cy="900000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0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428">
              <w:t xml:space="preserve"> </w:t>
            </w:r>
            <w:r w:rsidR="002E4428">
              <w:rPr>
                <w:noProof/>
                <w:lang w:eastAsia="nb-NO"/>
              </w:rPr>
              <w:drawing>
                <wp:inline distT="0" distB="0" distL="0" distR="0" wp14:anchorId="4F04C08B" wp14:editId="4F04C08C">
                  <wp:extent cx="471638" cy="900000"/>
                  <wp:effectExtent l="0" t="0" r="508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3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2E4428">
              <w:t xml:space="preserve"> </w:t>
            </w:r>
            <w:r w:rsidR="002E4428">
              <w:rPr>
                <w:noProof/>
                <w:lang w:eastAsia="nb-NO"/>
              </w:rPr>
              <w:drawing>
                <wp:inline distT="0" distB="0" distL="0" distR="0" wp14:anchorId="4F04C08D" wp14:editId="4F04C08E">
                  <wp:extent cx="904723" cy="900000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2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352" w:rsidRPr="00315352" w:rsidRDefault="002E4428" w:rsidP="002E4428">
            <w:pPr>
              <w:pStyle w:val="Listeavsnitt"/>
              <w:numPr>
                <w:ilvl w:val="0"/>
                <w:numId w:val="1"/>
              </w:numPr>
            </w:pPr>
            <w:r>
              <w:t>Sett på lokket på røret og stram godt.</w:t>
            </w:r>
          </w:p>
        </w:tc>
      </w:tr>
      <w:tr w:rsidR="004F1157" w:rsidTr="004F1157">
        <w:tc>
          <w:tcPr>
            <w:tcW w:w="9212" w:type="dxa"/>
          </w:tcPr>
          <w:p w:rsidR="004F1157" w:rsidRPr="00955675" w:rsidRDefault="004F1157" w:rsidP="00942627">
            <w:r>
              <w:t>Prøven oppbevares i romtemperatur eller kjøleskap (2</w:t>
            </w:r>
            <w:r w:rsidRPr="00955675">
              <w:rPr>
                <w:vertAlign w:val="superscript"/>
              </w:rPr>
              <w:t>o</w:t>
            </w:r>
            <w:r>
              <w:t>-30</w:t>
            </w:r>
            <w:r w:rsidRPr="00955675">
              <w:rPr>
                <w:vertAlign w:val="superscript"/>
              </w:rPr>
              <w:t>o</w:t>
            </w:r>
            <w:r>
              <w:t xml:space="preserve">C) frem til transport til laboratoriet. </w:t>
            </w:r>
          </w:p>
        </w:tc>
      </w:tr>
    </w:tbl>
    <w:p w:rsidR="009C4A75" w:rsidRPr="00315352" w:rsidRDefault="009C4A75" w:rsidP="004F1157"/>
    <w:sectPr w:rsidR="009C4A75" w:rsidRPr="0031535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52" w:rsidRDefault="00CC6752" w:rsidP="00B92468">
      <w:pPr>
        <w:spacing w:after="0" w:line="240" w:lineRule="auto"/>
      </w:pPr>
      <w:r>
        <w:separator/>
      </w:r>
    </w:p>
  </w:endnote>
  <w:endnote w:type="continuationSeparator" w:id="0">
    <w:p w:rsidR="00CC6752" w:rsidRDefault="00CC6752" w:rsidP="00B92468">
      <w:pPr>
        <w:spacing w:after="0" w:line="240" w:lineRule="auto"/>
      </w:pPr>
      <w:r>
        <w:continuationSeparator/>
      </w:r>
    </w:p>
  </w:endnote>
  <w:endnote w:type="continuationNotice" w:id="1">
    <w:p w:rsidR="00CC6752" w:rsidRDefault="00CC6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8" w:rsidRDefault="00B92468">
    <w:pPr>
      <w:pStyle w:val="Bunntekst"/>
    </w:pPr>
    <w:r>
      <w:t>Utarbeidet av Unila</w:t>
    </w:r>
    <w:r w:rsidR="00C95612">
      <w:t>bs Laboratoriemedisin. Versjon 2</w:t>
    </w:r>
    <w:r>
      <w:t>-2018.</w:t>
    </w:r>
  </w:p>
  <w:p w:rsidR="00B92468" w:rsidRDefault="00B9246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52" w:rsidRDefault="00CC6752" w:rsidP="00B92468">
      <w:pPr>
        <w:spacing w:after="0" w:line="240" w:lineRule="auto"/>
      </w:pPr>
      <w:r>
        <w:separator/>
      </w:r>
    </w:p>
  </w:footnote>
  <w:footnote w:type="continuationSeparator" w:id="0">
    <w:p w:rsidR="00CC6752" w:rsidRDefault="00CC6752" w:rsidP="00B92468">
      <w:pPr>
        <w:spacing w:after="0" w:line="240" w:lineRule="auto"/>
      </w:pPr>
      <w:r>
        <w:continuationSeparator/>
      </w:r>
    </w:p>
  </w:footnote>
  <w:footnote w:type="continuationNotice" w:id="1">
    <w:p w:rsidR="00CC6752" w:rsidRDefault="00CC67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67B3"/>
    <w:multiLevelType w:val="hybridMultilevel"/>
    <w:tmpl w:val="ECFACE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7B"/>
    <w:rsid w:val="00124ADB"/>
    <w:rsid w:val="00137143"/>
    <w:rsid w:val="001C7914"/>
    <w:rsid w:val="002E4428"/>
    <w:rsid w:val="00315352"/>
    <w:rsid w:val="00326AEC"/>
    <w:rsid w:val="003950F3"/>
    <w:rsid w:val="004C1C80"/>
    <w:rsid w:val="004C4FB0"/>
    <w:rsid w:val="004F1157"/>
    <w:rsid w:val="00624FC6"/>
    <w:rsid w:val="00640EC6"/>
    <w:rsid w:val="006D3167"/>
    <w:rsid w:val="007B514B"/>
    <w:rsid w:val="00877419"/>
    <w:rsid w:val="008E6703"/>
    <w:rsid w:val="00955675"/>
    <w:rsid w:val="00993A56"/>
    <w:rsid w:val="009B06EF"/>
    <w:rsid w:val="009B4F81"/>
    <w:rsid w:val="009C4A75"/>
    <w:rsid w:val="00A3064B"/>
    <w:rsid w:val="00AA4555"/>
    <w:rsid w:val="00AF7500"/>
    <w:rsid w:val="00B92468"/>
    <w:rsid w:val="00BE61AB"/>
    <w:rsid w:val="00C95612"/>
    <w:rsid w:val="00CC6752"/>
    <w:rsid w:val="00CE53C2"/>
    <w:rsid w:val="00D02610"/>
    <w:rsid w:val="00DD699D"/>
    <w:rsid w:val="00E86F22"/>
    <w:rsid w:val="00E87869"/>
    <w:rsid w:val="00EE247B"/>
    <w:rsid w:val="00F05E91"/>
    <w:rsid w:val="00F3668F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C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D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4F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535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9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468"/>
  </w:style>
  <w:style w:type="paragraph" w:styleId="Bunntekst">
    <w:name w:val="footer"/>
    <w:basedOn w:val="Normal"/>
    <w:link w:val="BunntekstTegn"/>
    <w:uiPriority w:val="99"/>
    <w:unhideWhenUsed/>
    <w:rsid w:val="00B9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2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D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4F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535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9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468"/>
  </w:style>
  <w:style w:type="paragraph" w:styleId="Bunntekst">
    <w:name w:val="footer"/>
    <w:basedOn w:val="Normal"/>
    <w:link w:val="BunntekstTegn"/>
    <w:uiPriority w:val="99"/>
    <w:unhideWhenUsed/>
    <w:rsid w:val="00B9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carthi\AppData\Local\Microsoft\Windows\Temporary%20Internet%20Files\Content.IE5\23IVBLGX\HOLOGIC%20Aptima%20Multitest%20Swab%20Specimen%20Collection%20for%20selvpr&#248;vetaking%20fra%20vagin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HOLOGIC Aptima Multitest Swab Specimen Collection for selvprøvetaking fra vagina</Template>
  <TotalTime>0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Thilesen</dc:creator>
  <cp:lastModifiedBy>Carina Thilesen</cp:lastModifiedBy>
  <cp:revision>1</cp:revision>
  <cp:lastPrinted>2018-05-18T07:02:00Z</cp:lastPrinted>
  <dcterms:created xsi:type="dcterms:W3CDTF">2018-08-10T07:57:00Z</dcterms:created>
  <dcterms:modified xsi:type="dcterms:W3CDTF">2018-08-10T07:57:00Z</dcterms:modified>
</cp:coreProperties>
</file>